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4D" w:rsidRPr="00B3574D" w:rsidRDefault="00B3574D" w:rsidP="00B3574D">
      <w:pPr>
        <w:pStyle w:val="ListParagraph"/>
        <w:shd w:val="clear" w:color="auto" w:fill="FFFFFF"/>
        <w:spacing w:before="0" w:beforeAutospacing="0"/>
        <w:jc w:val="center"/>
        <w:rPr>
          <w:rFonts w:ascii="Arial" w:hAnsi="Arial" w:cs="Arial"/>
          <w:color w:val="212529"/>
          <w:sz w:val="32"/>
          <w:szCs w:val="32"/>
        </w:rPr>
      </w:pPr>
      <w:r w:rsidRPr="00B3574D">
        <w:rPr>
          <w:rFonts w:ascii="Arial" w:hAnsi="Arial" w:cs="Arial"/>
          <w:b/>
          <w:bCs/>
          <w:color w:val="212529"/>
          <w:sz w:val="32"/>
          <w:szCs w:val="32"/>
        </w:rPr>
        <w:t>Standar Akuntansi Keuangan (SAK)</w:t>
      </w:r>
    </w:p>
    <w:p w:rsidR="00B3574D" w:rsidRPr="00B3574D" w:rsidRDefault="00B3574D" w:rsidP="00B3574D">
      <w:pPr>
        <w:pStyle w:val="NormalWeb"/>
        <w:shd w:val="clear" w:color="auto" w:fill="FFFFFF"/>
        <w:spacing w:before="0" w:beforeAutospacing="0" w:line="360" w:lineRule="auto"/>
        <w:jc w:val="both"/>
        <w:rPr>
          <w:rFonts w:ascii="Arial" w:hAnsi="Arial" w:cs="Arial"/>
          <w:color w:val="212529"/>
        </w:rPr>
      </w:pPr>
      <w:r w:rsidRPr="00B3574D">
        <w:rPr>
          <w:rFonts w:ascii="Arial" w:hAnsi="Arial" w:cs="Arial"/>
          <w:color w:val="212529"/>
        </w:rPr>
        <w:t>Standar Akuntansi Keuangan (SAK) adalah Pernyataan Standar Akuntansi Keuangan (PSAK) dan Interpretasi Standar Akuntansi Keuangan (ISAK) yang diterbitkan oleh Dewan Standar Ikatan Akuntan Indonesia (DSAK IAI) dan Dewan Standar Syariah Ikatan Akuntan Indonesia (DSAS IAI) serta peraturan regulator pasar modal untuk entitas yang berada di bawah pengawasannya.</w:t>
      </w:r>
    </w:p>
    <w:p w:rsidR="00B3574D" w:rsidRPr="00B3574D" w:rsidRDefault="00B3574D" w:rsidP="00162E99">
      <w:pPr>
        <w:pStyle w:val="NormalWeb"/>
        <w:shd w:val="clear" w:color="auto" w:fill="FFFFFF"/>
        <w:spacing w:before="0" w:beforeAutospacing="0" w:line="360" w:lineRule="auto"/>
        <w:jc w:val="both"/>
        <w:rPr>
          <w:rFonts w:ascii="Arial" w:hAnsi="Arial" w:cs="Arial"/>
          <w:color w:val="212529"/>
        </w:rPr>
      </w:pPr>
      <w:r w:rsidRPr="00B3574D">
        <w:rPr>
          <w:rFonts w:ascii="Arial" w:hAnsi="Arial" w:cs="Arial"/>
          <w:color w:val="212529"/>
        </w:rPr>
        <w:t>Efektif 1 Januari 2015 yang berlaku di Indonesia secara garis besar akan konvergen dengan International Financial Reporting Standards (IFRS) yang berlaku efektif 1 Januari 2014. DSAK IAI telah berhasil meminimalkan perbedaan antara kedua standar, dari tiga tahun di 1 januari 2012 menjadi satu tahun di 1 Januari 2015. Ini merupakan suatu bentuk komitmen Indonesia melalui DSAK IAI dalam memainkan perannya selaku satu-satunya anggota G20 di kawasan Asia Tenggara.Selain SAK yang berbasis IFRS, DSAK IAI telah menerbitkan PSAK dan ISAK yang merupakan produk non-IFRS antara lain, seperti PSAK 28 dan PSAK 38, ISAK 31, ISAK 32, ISAK 35 dan ISAK 36.</w:t>
      </w:r>
    </w:p>
    <w:p w:rsidR="00B3574D" w:rsidRPr="00B3574D" w:rsidRDefault="00B3574D" w:rsidP="00B3574D">
      <w:pPr>
        <w:pStyle w:val="NormalWeb"/>
        <w:shd w:val="clear" w:color="auto" w:fill="FFFFFF"/>
        <w:spacing w:before="0" w:beforeAutospacing="0" w:line="360" w:lineRule="auto"/>
        <w:jc w:val="both"/>
        <w:rPr>
          <w:rFonts w:ascii="Arial" w:hAnsi="Arial" w:cs="Arial"/>
          <w:color w:val="212529"/>
        </w:rPr>
      </w:pPr>
      <w:r w:rsidRPr="00B3574D">
        <w:rPr>
          <w:rFonts w:ascii="Arial" w:hAnsi="Arial" w:cs="Arial"/>
          <w:color w:val="212529"/>
        </w:rPr>
        <w:t>Diharapakan dengan semakin sedikitnya perbedaan antara SAK dan IFRS dapat memberikan manfaat bagi pemanggku kepentingan di Indonesia. Perusahaan yang memiliki akuntabilitas publik, regulator yang berusaha menciptakan infrastruktur pengaturan yang dibutuhkan, khususnya dalam transaksi pasar modal, serta pengguna informasi laporan keuangan dapat menggunakan SAK sebagai suatu panduan dalam meningkatkan kualitas informasi yang dihasilkan dalam laporan keuangan.</w:t>
      </w:r>
    </w:p>
    <w:p w:rsidR="00B3574D" w:rsidRDefault="00B3574D" w:rsidP="00B3574D">
      <w:pPr>
        <w:pStyle w:val="NormalWeb"/>
        <w:shd w:val="clear" w:color="auto" w:fill="FFFFFF"/>
        <w:spacing w:before="0" w:beforeAutospacing="0" w:line="360" w:lineRule="auto"/>
        <w:jc w:val="both"/>
        <w:rPr>
          <w:rFonts w:ascii="Arial" w:hAnsi="Arial" w:cs="Arial"/>
          <w:i/>
          <w:iCs/>
          <w:color w:val="212529"/>
        </w:rPr>
      </w:pPr>
      <w:r w:rsidRPr="00B3574D">
        <w:rPr>
          <w:rFonts w:ascii="Arial" w:hAnsi="Arial" w:cs="Arial"/>
          <w:color w:val="212529"/>
        </w:rPr>
        <w:t>Penyusunan  SAK wajib mengikuti </w:t>
      </w:r>
      <w:r w:rsidRPr="00B3574D">
        <w:rPr>
          <w:rFonts w:ascii="Arial" w:hAnsi="Arial" w:cs="Arial"/>
          <w:i/>
          <w:iCs/>
          <w:color w:val="212529"/>
        </w:rPr>
        <w:t>due process procedure</w:t>
      </w:r>
      <w:r w:rsidRPr="00B3574D">
        <w:rPr>
          <w:rFonts w:ascii="Arial" w:hAnsi="Arial" w:cs="Arial"/>
          <w:color w:val="212529"/>
        </w:rPr>
        <w:t> yang telah ditetapkan dalam Peraturan Organisasi Ikatan Akuntan Indonesia. Proses tersebut meliputi : identifikasi isu; konsultasi isu dengan Dewan Konsultatif SAK (DKSAK) (jika diperlukan); melakukan riset terbatas; pembahasan materi SAK; pengesahan dan publikasi </w:t>
      </w:r>
      <w:r w:rsidRPr="00B3574D">
        <w:rPr>
          <w:rFonts w:ascii="Arial" w:hAnsi="Arial" w:cs="Arial"/>
          <w:i/>
          <w:iCs/>
          <w:color w:val="212529"/>
        </w:rPr>
        <w:t>exposure</w:t>
      </w:r>
      <w:r w:rsidRPr="00B3574D">
        <w:rPr>
          <w:rFonts w:ascii="Arial" w:hAnsi="Arial" w:cs="Arial"/>
          <w:color w:val="212529"/>
        </w:rPr>
        <w:t> </w:t>
      </w:r>
      <w:r w:rsidRPr="00B3574D">
        <w:rPr>
          <w:rFonts w:ascii="Arial" w:hAnsi="Arial" w:cs="Arial"/>
          <w:i/>
          <w:iCs/>
          <w:color w:val="212529"/>
        </w:rPr>
        <w:t>draft</w:t>
      </w:r>
      <w:r w:rsidRPr="00B3574D">
        <w:rPr>
          <w:rFonts w:ascii="Arial" w:hAnsi="Arial" w:cs="Arial"/>
          <w:color w:val="212529"/>
        </w:rPr>
        <w:t>; pelaksanaan </w:t>
      </w:r>
      <w:r w:rsidRPr="00B3574D">
        <w:rPr>
          <w:rFonts w:ascii="Arial" w:hAnsi="Arial" w:cs="Arial"/>
          <w:i/>
          <w:iCs/>
          <w:color w:val="212529"/>
        </w:rPr>
        <w:t>public hearing</w:t>
      </w:r>
      <w:r w:rsidRPr="00B3574D">
        <w:rPr>
          <w:rFonts w:ascii="Arial" w:hAnsi="Arial" w:cs="Arial"/>
          <w:color w:val="212529"/>
        </w:rPr>
        <w:t>; pelaksanaan </w:t>
      </w:r>
      <w:r w:rsidRPr="00B3574D">
        <w:rPr>
          <w:rFonts w:ascii="Arial" w:hAnsi="Arial" w:cs="Arial"/>
          <w:i/>
          <w:iCs/>
          <w:color w:val="212529"/>
        </w:rPr>
        <w:t>limited hearing</w:t>
      </w:r>
      <w:r w:rsidRPr="00B3574D">
        <w:rPr>
          <w:rFonts w:ascii="Arial" w:hAnsi="Arial" w:cs="Arial"/>
          <w:color w:val="212529"/>
        </w:rPr>
        <w:t> (jika diperlukan); pembahasan masukan publik; dan pengesahan SAK. Penyusunan </w:t>
      </w:r>
      <w:r w:rsidRPr="00B3574D">
        <w:rPr>
          <w:rFonts w:ascii="Arial" w:hAnsi="Arial" w:cs="Arial"/>
          <w:i/>
          <w:iCs/>
          <w:color w:val="212529"/>
        </w:rPr>
        <w:t>annual improvements</w:t>
      </w:r>
      <w:r w:rsidRPr="00B3574D">
        <w:rPr>
          <w:rFonts w:ascii="Arial" w:hAnsi="Arial" w:cs="Arial"/>
          <w:color w:val="212529"/>
        </w:rPr>
        <w:t> tidak wajib mengikuti </w:t>
      </w:r>
      <w:r w:rsidRPr="00B3574D">
        <w:rPr>
          <w:rFonts w:ascii="Arial" w:hAnsi="Arial" w:cs="Arial"/>
          <w:i/>
          <w:iCs/>
          <w:color w:val="212529"/>
        </w:rPr>
        <w:t>due process</w:t>
      </w:r>
      <w:r w:rsidRPr="00B3574D">
        <w:rPr>
          <w:rFonts w:ascii="Arial" w:hAnsi="Arial" w:cs="Arial"/>
          <w:color w:val="212529"/>
        </w:rPr>
        <w:t> </w:t>
      </w:r>
      <w:r w:rsidRPr="00B3574D">
        <w:rPr>
          <w:rFonts w:ascii="Arial" w:hAnsi="Arial" w:cs="Arial"/>
          <w:i/>
          <w:iCs/>
          <w:color w:val="212529"/>
        </w:rPr>
        <w:t>public hearing</w:t>
      </w:r>
      <w:r w:rsidRPr="00B3574D">
        <w:rPr>
          <w:rFonts w:ascii="Arial" w:hAnsi="Arial" w:cs="Arial"/>
          <w:color w:val="212529"/>
        </w:rPr>
        <w:t>. Sedangkan penyusunan produk lain non-SAK (misal siaran pers atau materi edukasi) tidak wajib mengikuti keseluruhan tahapan </w:t>
      </w:r>
      <w:r w:rsidRPr="00B3574D">
        <w:rPr>
          <w:rFonts w:ascii="Arial" w:hAnsi="Arial" w:cs="Arial"/>
          <w:i/>
          <w:iCs/>
          <w:color w:val="212529"/>
        </w:rPr>
        <w:t>due process prosedur.</w:t>
      </w:r>
    </w:p>
    <w:p w:rsidR="00151026" w:rsidRDefault="00151026" w:rsidP="00B3574D">
      <w:pPr>
        <w:pStyle w:val="NormalWeb"/>
        <w:shd w:val="clear" w:color="auto" w:fill="FFFFFF"/>
        <w:spacing w:before="0" w:beforeAutospacing="0" w:line="360" w:lineRule="auto"/>
        <w:jc w:val="both"/>
        <w:rPr>
          <w:rFonts w:ascii="Arial" w:hAnsi="Arial" w:cs="Arial"/>
          <w:i/>
          <w:iCs/>
          <w:color w:val="212529"/>
        </w:rPr>
      </w:pPr>
    </w:p>
    <w:tbl>
      <w:tblPr>
        <w:tblW w:w="10065" w:type="dxa"/>
        <w:tblInd w:w="-577" w:type="dxa"/>
        <w:shd w:val="clear" w:color="auto" w:fill="FFFFFF"/>
        <w:tblCellMar>
          <w:left w:w="0" w:type="dxa"/>
          <w:right w:w="0" w:type="dxa"/>
        </w:tblCellMar>
        <w:tblLook w:val="04A0" w:firstRow="1" w:lastRow="0" w:firstColumn="1" w:lastColumn="0" w:noHBand="0" w:noVBand="1"/>
      </w:tblPr>
      <w:tblGrid>
        <w:gridCol w:w="570"/>
        <w:gridCol w:w="7222"/>
        <w:gridCol w:w="2273"/>
      </w:tblGrid>
      <w:tr w:rsidR="00151026" w:rsidRPr="00151026" w:rsidTr="00012B2B">
        <w:trPr>
          <w:trHeight w:val="315"/>
        </w:trPr>
        <w:tc>
          <w:tcPr>
            <w:tcW w:w="570" w:type="dxa"/>
            <w:tcBorders>
              <w:top w:val="single" w:sz="8" w:space="0" w:color="000000"/>
              <w:left w:val="single" w:sz="8" w:space="0" w:color="000000"/>
              <w:bottom w:val="single" w:sz="8" w:space="0" w:color="000000"/>
              <w:right w:val="single" w:sz="8" w:space="0" w:color="000000"/>
            </w:tcBorders>
            <w:shd w:val="clear" w:color="auto" w:fill="6FA8DC"/>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b/>
                <w:bCs/>
                <w:color w:val="212529"/>
                <w:sz w:val="24"/>
                <w:szCs w:val="24"/>
                <w:lang w:eastAsia="id-ID"/>
              </w:rPr>
              <w:t>No.</w:t>
            </w:r>
          </w:p>
        </w:tc>
        <w:tc>
          <w:tcPr>
            <w:tcW w:w="7222" w:type="dxa"/>
            <w:tcBorders>
              <w:top w:val="single" w:sz="8" w:space="0" w:color="000000"/>
              <w:left w:val="nil"/>
              <w:bottom w:val="single" w:sz="8" w:space="0" w:color="000000"/>
              <w:right w:val="single" w:sz="8" w:space="0" w:color="000000"/>
            </w:tcBorders>
            <w:shd w:val="clear" w:color="auto" w:fill="6FA8DC"/>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b/>
                <w:bCs/>
                <w:color w:val="212529"/>
                <w:sz w:val="24"/>
                <w:szCs w:val="24"/>
                <w:lang w:eastAsia="id-ID"/>
              </w:rPr>
              <w:t>Standar Akuntansi Keuangan</w:t>
            </w:r>
          </w:p>
        </w:tc>
        <w:tc>
          <w:tcPr>
            <w:tcW w:w="2273" w:type="dxa"/>
            <w:tcBorders>
              <w:top w:val="single" w:sz="8" w:space="0" w:color="000000"/>
              <w:left w:val="nil"/>
              <w:bottom w:val="single" w:sz="8" w:space="0" w:color="000000"/>
              <w:right w:val="single" w:sz="8" w:space="0" w:color="000000"/>
            </w:tcBorders>
            <w:shd w:val="clear" w:color="auto" w:fill="6FA8DC"/>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b/>
                <w:bCs/>
                <w:color w:val="212529"/>
                <w:sz w:val="24"/>
                <w:szCs w:val="24"/>
                <w:lang w:eastAsia="id-ID"/>
              </w:rPr>
              <w:t>Tanggal Pengesahan</w:t>
            </w:r>
          </w:p>
        </w:tc>
      </w:tr>
      <w:tr w:rsidR="00151026" w:rsidRPr="00151026" w:rsidTr="00012B2B">
        <w:trPr>
          <w:trHeight w:val="315"/>
        </w:trPr>
        <w:tc>
          <w:tcPr>
            <w:tcW w:w="10065" w:type="dxa"/>
            <w:gridSpan w:val="3"/>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32"/>
                <w:szCs w:val="32"/>
                <w:lang w:eastAsia="id-ID"/>
              </w:rPr>
            </w:pPr>
            <w:r w:rsidRPr="00151026">
              <w:rPr>
                <w:rFonts w:ascii="Times New Roman" w:eastAsia="Times New Roman" w:hAnsi="Times New Roman" w:cs="Times New Roman"/>
                <w:b/>
                <w:bCs/>
                <w:color w:val="212529"/>
                <w:sz w:val="32"/>
                <w:szCs w:val="32"/>
                <w:lang w:eastAsia="id-ID"/>
              </w:rPr>
              <w:t>PSAK</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 Penyajian Laporan Keuangan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26 Juni 2019</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 Laporan Arus Kas</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September 2016</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3 Laporan Keuangan Interim</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September 2016</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4</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4 Laporan Keuangan Tersendiri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5</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 Segmen Operasi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6</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7 Pengungkapan Pihak-pihak Berelasi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7</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8 Peristiwa Setelah Periode Pelaporan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8</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10 Pengaruh Perubahan Kurs Valuta Asing</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9</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13 Properti Investasi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September 2017</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10</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14 Persediaan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11</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15 Investasi pada Entitas Asosiasi dan Ventura Bersama</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29 Desember 2017</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12</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16 Aset Tetap</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13</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18 Akuntansi dan Pelaporan Program Manfaat Purnakarya</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14</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19 Aset Takberwujud</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15</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22 Kombinasi Bisnis</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31 Juli 2019</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24 Imbalan Kerja</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November 2018</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17</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25 Kebijakan Akuntansi,Perubahan Estimasi Akuntansi, dan  Kesalahan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26 Juni 2019</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26 Biaya Pinjaman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November 2018</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19</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28 Akuntansi Kontrak Asuransi Kerugian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11 Desember 2012</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20</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36 Akuntansi Kontrak Asuransi Jiwa</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11 Desember 2012</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21</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38 Kombinasi Bisnis Entitas Sepengendali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11 Desember 2012</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22</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46 Pajak Penghasilan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November 2018</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23</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48 Penurunan Nilai Aset</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29 April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24</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50 Instrumen Keuangan: Penyajian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29 April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25</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53 Pembayaran Berbasis Saham</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September 2017</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26</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55 Instrumen Keuangan: Pengakuan dan Pengukuran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2020</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56 Laba Per Saham</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57 Provisi, Liabilitas Kontinjensi, dan Aset Kontinjensi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29</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58 Aset Tidak Lancar yang Dikuasai untuk Dijual dan Operasi yang Dihentikan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September 2016</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30</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60 Instrumen Keuangan: Pengungkapan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2020</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31</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61 Akuntansi Hibah Pemerintah dan Pengungkapan Bantuan Pemerintah</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32</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62 Kontrak Asuransi</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2020</w:t>
            </w:r>
          </w:p>
        </w:tc>
      </w:tr>
      <w:tr w:rsidR="00151026" w:rsidRPr="00151026" w:rsidTr="00012B2B">
        <w:trPr>
          <w:trHeight w:val="315"/>
        </w:trPr>
        <w:tc>
          <w:tcPr>
            <w:tcW w:w="570" w:type="dxa"/>
            <w:tcBorders>
              <w:top w:val="nil"/>
              <w:left w:val="single" w:sz="8" w:space="0" w:color="000000"/>
              <w:bottom w:val="single" w:sz="4" w:space="0" w:color="auto"/>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33</w:t>
            </w:r>
          </w:p>
        </w:tc>
        <w:tc>
          <w:tcPr>
            <w:tcW w:w="7222"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63 Pelaporan Keuangan dalam Ekonomi Hiperinflasi</w:t>
            </w:r>
          </w:p>
        </w:tc>
        <w:tc>
          <w:tcPr>
            <w:tcW w:w="2273" w:type="dxa"/>
            <w:tcBorders>
              <w:top w:val="nil"/>
              <w:left w:val="nil"/>
              <w:bottom w:val="single" w:sz="4" w:space="0" w:color="auto"/>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lastRenderedPageBreak/>
              <w:t>34</w:t>
            </w:r>
          </w:p>
        </w:tc>
        <w:tc>
          <w:tcPr>
            <w:tcW w:w="72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64 Aktivitas Eksplorasi dan Evaluasi Pada Pertambangan Sumber Daya Mineral</w:t>
            </w:r>
          </w:p>
        </w:tc>
        <w:tc>
          <w:tcPr>
            <w:tcW w:w="227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27 Agustus 2014</w:t>
            </w:r>
          </w:p>
        </w:tc>
      </w:tr>
      <w:tr w:rsidR="00151026" w:rsidRPr="00151026" w:rsidTr="00012B2B">
        <w:trPr>
          <w:trHeight w:val="315"/>
        </w:trPr>
        <w:tc>
          <w:tcPr>
            <w:tcW w:w="570" w:type="dxa"/>
            <w:tcBorders>
              <w:top w:val="single" w:sz="4" w:space="0" w:color="auto"/>
              <w:left w:val="single" w:sz="4" w:space="0" w:color="auto"/>
              <w:bottom w:val="single" w:sz="4" w:space="0" w:color="auto"/>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35</w:t>
            </w:r>
          </w:p>
        </w:tc>
        <w:tc>
          <w:tcPr>
            <w:tcW w:w="7222"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65 Laporan Keuangan Konsolidasian</w:t>
            </w:r>
          </w:p>
        </w:tc>
        <w:tc>
          <w:tcPr>
            <w:tcW w:w="2273" w:type="dxa"/>
            <w:tcBorders>
              <w:top w:val="single" w:sz="4" w:space="0" w:color="auto"/>
              <w:left w:val="nil"/>
              <w:bottom w:val="single" w:sz="4" w:space="0" w:color="auto"/>
              <w:right w:val="single" w:sz="4" w:space="0" w:color="auto"/>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single" w:sz="4" w:space="0" w:color="auto"/>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36</w:t>
            </w:r>
          </w:p>
        </w:tc>
        <w:tc>
          <w:tcPr>
            <w:tcW w:w="7222"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66 Pengaturan Bersama</w:t>
            </w:r>
          </w:p>
        </w:tc>
        <w:tc>
          <w:tcPr>
            <w:tcW w:w="2273" w:type="dxa"/>
            <w:tcBorders>
              <w:top w:val="single" w:sz="4" w:space="0" w:color="auto"/>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28 November 2018</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37</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67 Pengungkapan Kepentingan dalam Entitas Lain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26 April 2017</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38</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68 Pengukuran Nilai Wajar</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18 November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39</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69 Agrikultur</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2015</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40</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70 Akuntansi Aset dan Liabilitas Pengampunan Pajak</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14 September 2016</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41</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71 Instrumen Keuangan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2020</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42</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72 Pendapatan dari Kontrak dengan Pelanggan</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26 Juli 2017</w:t>
            </w:r>
          </w:p>
        </w:tc>
      </w:tr>
      <w:tr w:rsidR="00151026" w:rsidRPr="00151026" w:rsidTr="00012B2B">
        <w:trPr>
          <w:trHeight w:val="315"/>
        </w:trPr>
        <w:tc>
          <w:tcPr>
            <w:tcW w:w="570" w:type="dxa"/>
            <w:tcBorders>
              <w:top w:val="nil"/>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43</w:t>
            </w:r>
          </w:p>
        </w:tc>
        <w:tc>
          <w:tcPr>
            <w:tcW w:w="72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51026" w:rsidRPr="00151026" w:rsidRDefault="00151026" w:rsidP="00151026">
            <w:pPr>
              <w:spacing w:after="0" w:line="240" w:lineRule="auto"/>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PSAK 73 Sewa</w:t>
            </w:r>
          </w:p>
        </w:tc>
        <w:tc>
          <w:tcPr>
            <w:tcW w:w="2273"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rsidR="00151026" w:rsidRPr="00151026" w:rsidRDefault="00151026" w:rsidP="00151026">
            <w:pPr>
              <w:spacing w:after="0" w:line="240" w:lineRule="auto"/>
              <w:jc w:val="center"/>
              <w:rPr>
                <w:rFonts w:ascii="Times New Roman" w:eastAsia="Times New Roman" w:hAnsi="Times New Roman" w:cs="Times New Roman"/>
                <w:color w:val="212529"/>
                <w:sz w:val="24"/>
                <w:szCs w:val="24"/>
                <w:lang w:eastAsia="id-ID"/>
              </w:rPr>
            </w:pPr>
            <w:r w:rsidRPr="00151026">
              <w:rPr>
                <w:rFonts w:ascii="Times New Roman" w:eastAsia="Times New Roman" w:hAnsi="Times New Roman" w:cs="Times New Roman"/>
                <w:color w:val="212529"/>
                <w:sz w:val="24"/>
                <w:szCs w:val="24"/>
                <w:lang w:eastAsia="id-ID"/>
              </w:rPr>
              <w:t>16 Desember 2020</w:t>
            </w:r>
          </w:p>
        </w:tc>
      </w:tr>
    </w:tbl>
    <w:p w:rsidR="002F6867" w:rsidRDefault="002F6867" w:rsidP="00EB41F1">
      <w:pPr>
        <w:pStyle w:val="NormalWeb"/>
        <w:shd w:val="clear" w:color="auto" w:fill="FFFFFF"/>
        <w:spacing w:before="0" w:beforeAutospacing="0" w:line="360" w:lineRule="auto"/>
        <w:ind w:left="-709"/>
        <w:jc w:val="center"/>
        <w:rPr>
          <w:rFonts w:ascii="Arial" w:hAnsi="Arial" w:cs="Arial"/>
          <w:color w:val="212529"/>
          <w:sz w:val="32"/>
          <w:szCs w:val="32"/>
        </w:rPr>
      </w:pPr>
    </w:p>
    <w:p w:rsidR="002F6867" w:rsidRPr="00EB41F1" w:rsidRDefault="002F6867" w:rsidP="00EB41F1">
      <w:pPr>
        <w:pStyle w:val="NormalWeb"/>
        <w:shd w:val="clear" w:color="auto" w:fill="FFFFFF"/>
        <w:spacing w:before="0" w:beforeAutospacing="0" w:line="360" w:lineRule="auto"/>
        <w:ind w:left="-709"/>
        <w:jc w:val="center"/>
        <w:rPr>
          <w:rFonts w:ascii="Arial" w:hAnsi="Arial" w:cs="Arial"/>
          <w:color w:val="212529"/>
          <w:sz w:val="32"/>
          <w:szCs w:val="32"/>
        </w:rPr>
      </w:pPr>
      <w:bookmarkStart w:id="0" w:name="_GoBack"/>
      <w:bookmarkEnd w:id="0"/>
      <w:r>
        <w:rPr>
          <w:rFonts w:ascii="Arial" w:hAnsi="Arial" w:cs="Arial"/>
          <w:color w:val="212529"/>
          <w:sz w:val="32"/>
          <w:szCs w:val="32"/>
        </w:rPr>
        <w:t>ISAK</w:t>
      </w:r>
    </w:p>
    <w:tbl>
      <w:tblPr>
        <w:tblW w:w="10055" w:type="dxa"/>
        <w:jc w:val="center"/>
        <w:tblCellMar>
          <w:left w:w="0" w:type="dxa"/>
          <w:right w:w="0" w:type="dxa"/>
        </w:tblCellMar>
        <w:tblLook w:val="04A0" w:firstRow="1" w:lastRow="0" w:firstColumn="1" w:lastColumn="0" w:noHBand="0" w:noVBand="1"/>
      </w:tblPr>
      <w:tblGrid>
        <w:gridCol w:w="562"/>
        <w:gridCol w:w="7230"/>
        <w:gridCol w:w="2263"/>
      </w:tblGrid>
      <w:tr w:rsidR="001813A8" w:rsidRPr="001813A8" w:rsidTr="002F6867">
        <w:trPr>
          <w:trHeight w:val="315"/>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44</w:t>
            </w:r>
          </w:p>
        </w:tc>
        <w:tc>
          <w:tcPr>
            <w:tcW w:w="7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9 Perubahan atas Liabilitas Aktivitas Purnaoperasi, Restorasi, dan Liabilitas Serupa</w:t>
            </w:r>
          </w:p>
        </w:tc>
        <w:tc>
          <w:tcPr>
            <w:tcW w:w="22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45</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11 Distribusi Aset Nonkas kepada Pemilik</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46</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13 Lindung Nilai Investasi Neto dalam Kegiatan Usaha Luar Negeri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47</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14 Aset Tak berwujud: Biaya Situs Web</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48</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15 PSAK 24: Batas Aset Imbalan Pasti, Persyaratan Pendanaan Minimum, dan Interaksinya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 Oktober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49</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16 Perjanjian Konsesi Jasa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50</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17 Laporan Keuangan Interim dan Penurunan Nilai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51</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18 Bantuan Pemerintah: Tidak Berelasi Spesifik dengan Aktivitas Operasi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52</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19 Penerapan Pendekatan Penyajian Kembali dalam PSAK 63: Pelaporan Keuangan dalam Ekonomi Hiperinflasi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53</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20 Pajak penghasilan: Perubahan dalam Status Pajak Entitas atau Para Pemegang Sahamnya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54</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20 Perjanjian Konsesi Jasa: Pengungkapan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55</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28 Pengakhiran Liabilitas Keuangan dengan Instrumen Ekuitas</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56</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29 Biaya Pengupasan Lapisan Tanah dalam Tahap Produksi pada Tambang Terbuka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27 Agustus 2014</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57</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30 Pungutan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28 Oktober 2015</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58</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31 Interpretasi atas Ruang Lingkup PSAK 13: Properti Investasi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18 November 2015</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59</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32 Definisi dan Hierarki Standar Akuntansi Keuangan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10 Maret 2017</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60</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33 Transaksi Valuta Asing dan Imbalan Di Muka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18 September 2017</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61</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34 Ketidakpastian Dalam Perlakukan Pajak Penghasilan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28 Februari 2018</w:t>
            </w:r>
          </w:p>
        </w:tc>
      </w:tr>
      <w:tr w:rsidR="001813A8" w:rsidRPr="001813A8" w:rsidTr="002F6867">
        <w:trPr>
          <w:trHeight w:val="315"/>
          <w:jc w:val="center"/>
        </w:trPr>
        <w:tc>
          <w:tcPr>
            <w:tcW w:w="562" w:type="dxa"/>
            <w:tcBorders>
              <w:top w:val="nil"/>
              <w:left w:val="single" w:sz="8" w:space="0" w:color="000000"/>
              <w:bottom w:val="single" w:sz="4" w:space="0" w:color="auto"/>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62</w:t>
            </w:r>
          </w:p>
        </w:tc>
        <w:tc>
          <w:tcPr>
            <w:tcW w:w="7230" w:type="dxa"/>
            <w:tcBorders>
              <w:top w:val="nil"/>
              <w:left w:val="nil"/>
              <w:bottom w:val="single" w:sz="4" w:space="0" w:color="auto"/>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35 Penyajian Laporan Keuangan Entitas Berorientasi Nonlaba</w:t>
            </w:r>
          </w:p>
        </w:tc>
        <w:tc>
          <w:tcPr>
            <w:tcW w:w="2263" w:type="dxa"/>
            <w:tcBorders>
              <w:top w:val="nil"/>
              <w:left w:val="nil"/>
              <w:bottom w:val="single" w:sz="4" w:space="0" w:color="auto"/>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11 April 2019</w:t>
            </w:r>
          </w:p>
        </w:tc>
      </w:tr>
      <w:tr w:rsidR="001813A8" w:rsidRPr="001813A8" w:rsidTr="002F6867">
        <w:trPr>
          <w:trHeight w:val="315"/>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63</w:t>
            </w:r>
          </w:p>
        </w:tc>
        <w:tc>
          <w:tcPr>
            <w:tcW w:w="7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ISAK 36 Interpretasi AtasInteraksi Antara Ketentuan Mengenai Hak Atas Tanah Dalam PSAK 16: Aset Tetapdan PSAK 73: Sewa</w:t>
            </w:r>
          </w:p>
        </w:tc>
        <w:tc>
          <w:tcPr>
            <w:tcW w:w="22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26 November 2020</w:t>
            </w:r>
          </w:p>
        </w:tc>
      </w:tr>
      <w:tr w:rsidR="001813A8" w:rsidRPr="001813A8" w:rsidTr="002F6867">
        <w:trPr>
          <w:trHeight w:val="315"/>
          <w:jc w:val="center"/>
        </w:trPr>
        <w:tc>
          <w:tcPr>
            <w:tcW w:w="10055" w:type="dxa"/>
            <w:gridSpan w:val="3"/>
            <w:tcBorders>
              <w:top w:val="nil"/>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36"/>
                <w:szCs w:val="36"/>
                <w:lang w:eastAsia="id-ID"/>
              </w:rPr>
            </w:pPr>
            <w:r w:rsidRPr="001813A8">
              <w:rPr>
                <w:rFonts w:ascii="Times New Roman" w:eastAsia="Times New Roman" w:hAnsi="Times New Roman" w:cs="Times New Roman"/>
                <w:b/>
                <w:bCs/>
                <w:sz w:val="36"/>
                <w:szCs w:val="36"/>
                <w:lang w:eastAsia="id-ID"/>
              </w:rPr>
              <w:lastRenderedPageBreak/>
              <w:t>PPSAK</w:t>
            </w:r>
          </w:p>
        </w:tc>
      </w:tr>
      <w:tr w:rsidR="001813A8" w:rsidRPr="001813A8" w:rsidTr="002F6867">
        <w:trPr>
          <w:trHeight w:val="315"/>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64</w:t>
            </w:r>
          </w:p>
        </w:tc>
        <w:tc>
          <w:tcPr>
            <w:tcW w:w="7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1 Pencabutan PSAK 32: Akuntansi Kehutanan, PSAK 35: Akuntansi Pendapatan Jasa Telekomunikasi, dan PSAK 37: Akuntansi Penyelenggaraan Jalan Tol</w:t>
            </w:r>
          </w:p>
        </w:tc>
        <w:tc>
          <w:tcPr>
            <w:tcW w:w="22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16 Juni 2009</w:t>
            </w:r>
          </w:p>
        </w:tc>
      </w:tr>
      <w:tr w:rsidR="001813A8" w:rsidRPr="001813A8" w:rsidTr="002F6867">
        <w:trPr>
          <w:trHeight w:val="315"/>
          <w:jc w:val="center"/>
        </w:trPr>
        <w:tc>
          <w:tcPr>
            <w:tcW w:w="562" w:type="dxa"/>
            <w:tcBorders>
              <w:top w:val="single" w:sz="4" w:space="0" w:color="auto"/>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65</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2 Pencabutan PSAK 41: Akuntansi Waran dan PSAK 43 Akuntansi Anjak Piutang</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5 Desember 2009</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66</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3 Pencabutan PSAK 54: Akuntansi Rekstrukturisasi Utang Piutang Bermasalah</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22 Desember 2009</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67</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4 Pencabutan PSAK 31: Akuntansi Perbankan, PSAK 42:Akuntansi Perusahaan Efek, dan PSAK 49: Akuntansi Perusahaan Reksa Dana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15 Desember 2009</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68</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5 Pencabutan ISAK 6: Interpretasi atas paragraf 12 dan 16 PSAK 55 (1999) tentang Instrumen Derivatif Melekat pada Kontrak Dalam Mata Uang Asing</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15 Desember 2009</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69</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6 Pencabutan PSAK 21: Akuntansi Ekuitas, ISAK 1: Penentuan Harga Pasar Dividen; ISAK 2: Penyajian Modal dalam Neraca dan Piutang kepada Pemesan Saham, dan ISAK 3 Akuntansi atas Pemberian Sumbangan atau Bantuan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 Februari 2011</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70</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8 Pencabutan PSAK 27: Akuntansi Perkoperasian</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8 April 2011</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71</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9 Pencabutan ISAK 5: Interpretasi atas Paragraf 14 PSAK 50 (1998) Tentang Pelaporan Perubahan Nilai Wajar Investasi Efek dalam Kelompok Tersedia untuk Dijual</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20 Desember 2011</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72</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10 Pencabutan PSAK 51: Akuntansi Kuasi Reorganisasi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20 Desember 2011</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73</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11 Pencabutan PSAK 39: Akuntansi Kerja Sama Operasi</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28 Juni 2011</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74</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12 Pencabutan PSAK 33: Aktivitas Pengupasan Lapisan Tanah dan Pengelolaan Lingkungan Hidup pada Pertambangan Umum</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12 Juli 2013</w:t>
            </w:r>
          </w:p>
        </w:tc>
      </w:tr>
      <w:tr w:rsidR="001813A8" w:rsidRPr="001813A8" w:rsidTr="002F6867">
        <w:trPr>
          <w:trHeight w:val="315"/>
          <w:jc w:val="center"/>
        </w:trPr>
        <w:tc>
          <w:tcPr>
            <w:tcW w:w="562"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75</w:t>
            </w:r>
          </w:p>
        </w:tc>
        <w:tc>
          <w:tcPr>
            <w:tcW w:w="7230" w:type="dxa"/>
            <w:tcBorders>
              <w:top w:val="nil"/>
              <w:left w:val="nil"/>
              <w:bottom w:val="single" w:sz="8" w:space="0" w:color="000000"/>
              <w:right w:val="single" w:sz="8" w:space="0" w:color="000000"/>
            </w:tcBorders>
            <w:tcMar>
              <w:top w:w="0" w:type="dxa"/>
              <w:left w:w="108" w:type="dxa"/>
              <w:bottom w:w="0" w:type="dxa"/>
              <w:right w:w="108" w:type="dxa"/>
            </w:tcMar>
            <w:hideMark/>
          </w:tcPr>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PPSAK 13 Pencabutan PSAK 45: Pelaporan Keuangan Entitas Nirlaba</w:t>
            </w:r>
          </w:p>
        </w:tc>
        <w:tc>
          <w:tcPr>
            <w:tcW w:w="2263" w:type="dxa"/>
            <w:tcBorders>
              <w:top w:val="nil"/>
              <w:left w:val="nil"/>
              <w:bottom w:val="single" w:sz="8" w:space="0" w:color="000000"/>
              <w:right w:val="single" w:sz="8" w:space="0" w:color="000000"/>
            </w:tcBorders>
            <w:noWrap/>
            <w:tcMar>
              <w:top w:w="0" w:type="dxa"/>
              <w:left w:w="108" w:type="dxa"/>
              <w:bottom w:w="0" w:type="dxa"/>
              <w:right w:w="108" w:type="dxa"/>
            </w:tcMar>
            <w:hideMark/>
          </w:tcPr>
          <w:p w:rsidR="001813A8" w:rsidRPr="001813A8" w:rsidRDefault="001813A8" w:rsidP="001813A8">
            <w:pPr>
              <w:spacing w:after="0" w:line="240" w:lineRule="auto"/>
              <w:jc w:val="center"/>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11 April 2019</w:t>
            </w:r>
          </w:p>
        </w:tc>
      </w:tr>
    </w:tbl>
    <w:p w:rsidR="001813A8" w:rsidRPr="001813A8" w:rsidRDefault="001813A8" w:rsidP="001813A8">
      <w:pPr>
        <w:spacing w:after="0" w:line="240" w:lineRule="auto"/>
        <w:rPr>
          <w:rFonts w:ascii="Times New Roman" w:eastAsia="Times New Roman" w:hAnsi="Times New Roman" w:cs="Times New Roman"/>
          <w:sz w:val="24"/>
          <w:szCs w:val="24"/>
          <w:lang w:eastAsia="id-ID"/>
        </w:rPr>
      </w:pPr>
    </w:p>
    <w:p w:rsidR="001813A8" w:rsidRPr="001813A8" w:rsidRDefault="001813A8" w:rsidP="001813A8">
      <w:pPr>
        <w:spacing w:after="0"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Untuk membaca SAK efektif 1 Januari2023, publik dapat berlangganan dan membacanya secara online melaluihttps://sak.iaiglobal.or.id atau aplikasi SAK IAI yang diunduh melaluiPlayStore atau AppStore. Bagi Anggota IAI, pastikan Anda dalam kondisi aktifuntuk nikmati kemudahan mengakses SAK di mana saja dan kapan saja dengan SAKIAI secara gratis</w:t>
      </w:r>
    </w:p>
    <w:p w:rsidR="001813A8" w:rsidRPr="001813A8" w:rsidRDefault="001813A8" w:rsidP="001813A8">
      <w:pPr>
        <w:spacing w:after="100" w:afterAutospacing="1" w:line="240" w:lineRule="auto"/>
        <w:rPr>
          <w:rFonts w:ascii="Times New Roman" w:eastAsia="Times New Roman" w:hAnsi="Times New Roman" w:cs="Times New Roman"/>
          <w:sz w:val="24"/>
          <w:szCs w:val="24"/>
          <w:lang w:eastAsia="id-ID"/>
        </w:rPr>
      </w:pPr>
      <w:r w:rsidRPr="001813A8">
        <w:rPr>
          <w:rFonts w:ascii="Times New Roman" w:eastAsia="Times New Roman" w:hAnsi="Times New Roman" w:cs="Times New Roman"/>
          <w:sz w:val="24"/>
          <w:szCs w:val="24"/>
          <w:lang w:eastAsia="id-ID"/>
        </w:rPr>
        <w:t> </w:t>
      </w:r>
    </w:p>
    <w:p w:rsidR="001813A8" w:rsidRPr="00151026" w:rsidRDefault="001813A8" w:rsidP="00B3574D">
      <w:pPr>
        <w:pStyle w:val="NormalWeb"/>
        <w:shd w:val="clear" w:color="auto" w:fill="FFFFFF"/>
        <w:spacing w:before="0" w:beforeAutospacing="0" w:line="360" w:lineRule="auto"/>
        <w:jc w:val="both"/>
        <w:rPr>
          <w:rFonts w:ascii="Arial" w:hAnsi="Arial" w:cs="Arial"/>
          <w:color w:val="212529"/>
        </w:rPr>
      </w:pPr>
    </w:p>
    <w:p w:rsidR="00010412" w:rsidRDefault="00010412" w:rsidP="00B3574D">
      <w:pPr>
        <w:spacing w:line="360" w:lineRule="auto"/>
      </w:pPr>
    </w:p>
    <w:sectPr w:rsidR="00010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4D"/>
    <w:rsid w:val="00010412"/>
    <w:rsid w:val="00012B2B"/>
    <w:rsid w:val="0008031B"/>
    <w:rsid w:val="000A30CB"/>
    <w:rsid w:val="00151026"/>
    <w:rsid w:val="00162E99"/>
    <w:rsid w:val="001813A8"/>
    <w:rsid w:val="002E59DA"/>
    <w:rsid w:val="002F6867"/>
    <w:rsid w:val="005066F5"/>
    <w:rsid w:val="005935FD"/>
    <w:rsid w:val="00834380"/>
    <w:rsid w:val="00971040"/>
    <w:rsid w:val="00990733"/>
    <w:rsid w:val="00AE0CF0"/>
    <w:rsid w:val="00B3574D"/>
    <w:rsid w:val="00C52A0F"/>
    <w:rsid w:val="00CD17DD"/>
    <w:rsid w:val="00E6494F"/>
    <w:rsid w:val="00EB41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1309C-F63C-4B87-A920-56199B8D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74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B3574D"/>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2309">
      <w:bodyDiv w:val="1"/>
      <w:marLeft w:val="0"/>
      <w:marRight w:val="0"/>
      <w:marTop w:val="0"/>
      <w:marBottom w:val="0"/>
      <w:divBdr>
        <w:top w:val="none" w:sz="0" w:space="0" w:color="auto"/>
        <w:left w:val="none" w:sz="0" w:space="0" w:color="auto"/>
        <w:bottom w:val="none" w:sz="0" w:space="0" w:color="auto"/>
        <w:right w:val="none" w:sz="0" w:space="0" w:color="auto"/>
      </w:divBdr>
    </w:div>
    <w:div w:id="535389299">
      <w:bodyDiv w:val="1"/>
      <w:marLeft w:val="0"/>
      <w:marRight w:val="0"/>
      <w:marTop w:val="0"/>
      <w:marBottom w:val="0"/>
      <w:divBdr>
        <w:top w:val="none" w:sz="0" w:space="0" w:color="auto"/>
        <w:left w:val="none" w:sz="0" w:space="0" w:color="auto"/>
        <w:bottom w:val="none" w:sz="0" w:space="0" w:color="auto"/>
        <w:right w:val="none" w:sz="0" w:space="0" w:color="auto"/>
      </w:divBdr>
    </w:div>
    <w:div w:id="792410139">
      <w:bodyDiv w:val="1"/>
      <w:marLeft w:val="0"/>
      <w:marRight w:val="0"/>
      <w:marTop w:val="0"/>
      <w:marBottom w:val="0"/>
      <w:divBdr>
        <w:top w:val="none" w:sz="0" w:space="0" w:color="auto"/>
        <w:left w:val="none" w:sz="0" w:space="0" w:color="auto"/>
        <w:bottom w:val="none" w:sz="0" w:space="0" w:color="auto"/>
        <w:right w:val="none" w:sz="0" w:space="0" w:color="auto"/>
      </w:divBdr>
    </w:div>
    <w:div w:id="857084111">
      <w:bodyDiv w:val="1"/>
      <w:marLeft w:val="0"/>
      <w:marRight w:val="0"/>
      <w:marTop w:val="0"/>
      <w:marBottom w:val="0"/>
      <w:divBdr>
        <w:top w:val="none" w:sz="0" w:space="0" w:color="auto"/>
        <w:left w:val="none" w:sz="0" w:space="0" w:color="auto"/>
        <w:bottom w:val="none" w:sz="0" w:space="0" w:color="auto"/>
        <w:right w:val="none" w:sz="0" w:space="0" w:color="auto"/>
      </w:divBdr>
    </w:div>
    <w:div w:id="1297104885">
      <w:bodyDiv w:val="1"/>
      <w:marLeft w:val="0"/>
      <w:marRight w:val="0"/>
      <w:marTop w:val="0"/>
      <w:marBottom w:val="0"/>
      <w:divBdr>
        <w:top w:val="none" w:sz="0" w:space="0" w:color="auto"/>
        <w:left w:val="none" w:sz="0" w:space="0" w:color="auto"/>
        <w:bottom w:val="none" w:sz="0" w:space="0" w:color="auto"/>
        <w:right w:val="none" w:sz="0" w:space="0" w:color="auto"/>
      </w:divBdr>
      <w:divsChild>
        <w:div w:id="4944893">
          <w:marLeft w:val="0"/>
          <w:marRight w:val="0"/>
          <w:marTop w:val="0"/>
          <w:marBottom w:val="0"/>
          <w:divBdr>
            <w:top w:val="none" w:sz="0" w:space="0" w:color="auto"/>
            <w:left w:val="none" w:sz="0" w:space="0" w:color="auto"/>
            <w:bottom w:val="none" w:sz="0" w:space="0" w:color="auto"/>
            <w:right w:val="none" w:sz="0" w:space="0" w:color="auto"/>
          </w:divBdr>
          <w:divsChild>
            <w:div w:id="2144956133">
              <w:marLeft w:val="0"/>
              <w:marRight w:val="0"/>
              <w:marTop w:val="0"/>
              <w:marBottom w:val="0"/>
              <w:divBdr>
                <w:top w:val="none" w:sz="0" w:space="0" w:color="auto"/>
                <w:left w:val="none" w:sz="0" w:space="0" w:color="auto"/>
                <w:bottom w:val="none" w:sz="0" w:space="0" w:color="auto"/>
                <w:right w:val="none" w:sz="0" w:space="0" w:color="auto"/>
              </w:divBdr>
              <w:divsChild>
                <w:div w:id="1102409786">
                  <w:marLeft w:val="-225"/>
                  <w:marRight w:val="-225"/>
                  <w:marTop w:val="0"/>
                  <w:marBottom w:val="0"/>
                  <w:divBdr>
                    <w:top w:val="none" w:sz="0" w:space="0" w:color="auto"/>
                    <w:left w:val="none" w:sz="0" w:space="0" w:color="auto"/>
                    <w:bottom w:val="none" w:sz="0" w:space="0" w:color="auto"/>
                    <w:right w:val="none" w:sz="0" w:space="0" w:color="auto"/>
                  </w:divBdr>
                  <w:divsChild>
                    <w:div w:id="2136555766">
                      <w:marLeft w:val="0"/>
                      <w:marRight w:val="0"/>
                      <w:marTop w:val="0"/>
                      <w:marBottom w:val="0"/>
                      <w:divBdr>
                        <w:top w:val="none" w:sz="0" w:space="0" w:color="auto"/>
                        <w:left w:val="none" w:sz="0" w:space="0" w:color="auto"/>
                        <w:bottom w:val="none" w:sz="0" w:space="0" w:color="auto"/>
                        <w:right w:val="none" w:sz="0" w:space="0" w:color="auto"/>
                      </w:divBdr>
                      <w:divsChild>
                        <w:div w:id="1387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100109">
      <w:bodyDiv w:val="1"/>
      <w:marLeft w:val="0"/>
      <w:marRight w:val="0"/>
      <w:marTop w:val="0"/>
      <w:marBottom w:val="0"/>
      <w:divBdr>
        <w:top w:val="none" w:sz="0" w:space="0" w:color="auto"/>
        <w:left w:val="none" w:sz="0" w:space="0" w:color="auto"/>
        <w:bottom w:val="none" w:sz="0" w:space="0" w:color="auto"/>
        <w:right w:val="none" w:sz="0" w:space="0" w:color="auto"/>
      </w:divBdr>
      <w:divsChild>
        <w:div w:id="736172583">
          <w:marLeft w:val="0"/>
          <w:marRight w:val="0"/>
          <w:marTop w:val="0"/>
          <w:marBottom w:val="0"/>
          <w:divBdr>
            <w:top w:val="none" w:sz="0" w:space="0" w:color="auto"/>
            <w:left w:val="none" w:sz="0" w:space="0" w:color="auto"/>
            <w:bottom w:val="none" w:sz="0" w:space="0" w:color="auto"/>
            <w:right w:val="none" w:sz="0" w:space="0" w:color="auto"/>
          </w:divBdr>
          <w:divsChild>
            <w:div w:id="392118841">
              <w:marLeft w:val="0"/>
              <w:marRight w:val="0"/>
              <w:marTop w:val="0"/>
              <w:marBottom w:val="0"/>
              <w:divBdr>
                <w:top w:val="none" w:sz="0" w:space="0" w:color="auto"/>
                <w:left w:val="none" w:sz="0" w:space="0" w:color="auto"/>
                <w:bottom w:val="none" w:sz="0" w:space="0" w:color="auto"/>
                <w:right w:val="none" w:sz="0" w:space="0" w:color="auto"/>
              </w:divBdr>
              <w:divsChild>
                <w:div w:id="1384872072">
                  <w:marLeft w:val="-225"/>
                  <w:marRight w:val="-225"/>
                  <w:marTop w:val="0"/>
                  <w:marBottom w:val="0"/>
                  <w:divBdr>
                    <w:top w:val="none" w:sz="0" w:space="0" w:color="auto"/>
                    <w:left w:val="none" w:sz="0" w:space="0" w:color="auto"/>
                    <w:bottom w:val="none" w:sz="0" w:space="0" w:color="auto"/>
                    <w:right w:val="none" w:sz="0" w:space="0" w:color="auto"/>
                  </w:divBdr>
                  <w:divsChild>
                    <w:div w:id="812796698">
                      <w:marLeft w:val="0"/>
                      <w:marRight w:val="0"/>
                      <w:marTop w:val="0"/>
                      <w:marBottom w:val="0"/>
                      <w:divBdr>
                        <w:top w:val="none" w:sz="0" w:space="0" w:color="auto"/>
                        <w:left w:val="none" w:sz="0" w:space="0" w:color="auto"/>
                        <w:bottom w:val="none" w:sz="0" w:space="0" w:color="auto"/>
                        <w:right w:val="none" w:sz="0" w:space="0" w:color="auto"/>
                      </w:divBdr>
                      <w:divsChild>
                        <w:div w:id="1489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411655">
      <w:bodyDiv w:val="1"/>
      <w:marLeft w:val="0"/>
      <w:marRight w:val="0"/>
      <w:marTop w:val="0"/>
      <w:marBottom w:val="0"/>
      <w:divBdr>
        <w:top w:val="none" w:sz="0" w:space="0" w:color="auto"/>
        <w:left w:val="none" w:sz="0" w:space="0" w:color="auto"/>
        <w:bottom w:val="none" w:sz="0" w:space="0" w:color="auto"/>
        <w:right w:val="none" w:sz="0" w:space="0" w:color="auto"/>
      </w:divBdr>
      <w:divsChild>
        <w:div w:id="2100130300">
          <w:marLeft w:val="0"/>
          <w:marRight w:val="0"/>
          <w:marTop w:val="0"/>
          <w:marBottom w:val="0"/>
          <w:divBdr>
            <w:top w:val="none" w:sz="0" w:space="0" w:color="auto"/>
            <w:left w:val="none" w:sz="0" w:space="0" w:color="auto"/>
            <w:bottom w:val="none" w:sz="0" w:space="0" w:color="auto"/>
            <w:right w:val="none" w:sz="0" w:space="0" w:color="auto"/>
          </w:divBdr>
          <w:divsChild>
            <w:div w:id="1526672484">
              <w:marLeft w:val="0"/>
              <w:marRight w:val="0"/>
              <w:marTop w:val="0"/>
              <w:marBottom w:val="0"/>
              <w:divBdr>
                <w:top w:val="none" w:sz="0" w:space="0" w:color="auto"/>
                <w:left w:val="none" w:sz="0" w:space="0" w:color="auto"/>
                <w:bottom w:val="none" w:sz="0" w:space="0" w:color="auto"/>
                <w:right w:val="none" w:sz="0" w:space="0" w:color="auto"/>
              </w:divBdr>
              <w:divsChild>
                <w:div w:id="1221357481">
                  <w:marLeft w:val="-225"/>
                  <w:marRight w:val="-225"/>
                  <w:marTop w:val="0"/>
                  <w:marBottom w:val="0"/>
                  <w:divBdr>
                    <w:top w:val="none" w:sz="0" w:space="0" w:color="auto"/>
                    <w:left w:val="none" w:sz="0" w:space="0" w:color="auto"/>
                    <w:bottom w:val="none" w:sz="0" w:space="0" w:color="auto"/>
                    <w:right w:val="none" w:sz="0" w:space="0" w:color="auto"/>
                  </w:divBdr>
                  <w:divsChild>
                    <w:div w:id="1606771631">
                      <w:marLeft w:val="0"/>
                      <w:marRight w:val="0"/>
                      <w:marTop w:val="0"/>
                      <w:marBottom w:val="0"/>
                      <w:divBdr>
                        <w:top w:val="none" w:sz="0" w:space="0" w:color="auto"/>
                        <w:left w:val="none" w:sz="0" w:space="0" w:color="auto"/>
                        <w:bottom w:val="none" w:sz="0" w:space="0" w:color="auto"/>
                        <w:right w:val="none" w:sz="0" w:space="0" w:color="auto"/>
                      </w:divBdr>
                      <w:divsChild>
                        <w:div w:id="7186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2025-10-02T08:16:00Z</dcterms:created>
  <dcterms:modified xsi:type="dcterms:W3CDTF">2025-10-02T08:16:00Z</dcterms:modified>
</cp:coreProperties>
</file>